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65"/>
      </w:tblGrid>
      <w:tr w:rsidR="005C5FD9" w:rsidRPr="00206268" w14:paraId="4BA5E7F6" w14:textId="77777777" w:rsidTr="004C2597">
        <w:trPr>
          <w:trHeight w:val="8495"/>
        </w:trPr>
        <w:tc>
          <w:tcPr>
            <w:tcW w:w="8565" w:type="dxa"/>
            <w:shd w:val="clear" w:color="auto" w:fill="F2F2F2"/>
          </w:tcPr>
          <w:p w14:paraId="29743E42" w14:textId="77777777" w:rsidR="005C5FD9" w:rsidRPr="00206268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noProof/>
                <w:snapToGrid/>
                <w:sz w:val="22"/>
                <w:szCs w:val="24"/>
                <w:lang w:val="nl-NL" w:eastAsia="nl-NL"/>
              </w:rPr>
            </w:pPr>
            <w:r>
              <w:rPr>
                <w:rFonts w:ascii="Calibri" w:eastAsia="Calibri" w:hAnsi="Calibri" w:cs="Calibri"/>
                <w:noProof/>
                <w:snapToGrid/>
                <w:sz w:val="22"/>
                <w:szCs w:val="24"/>
              </w:rPr>
              <w:drawing>
                <wp:inline distT="0" distB="0" distL="0" distR="0" wp14:anchorId="60A3B93E" wp14:editId="0406764A">
                  <wp:extent cx="2329815" cy="718185"/>
                  <wp:effectExtent l="0" t="0" r="698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52924" w14:textId="77777777" w:rsidR="005C5FD9" w:rsidRPr="00206268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noProof/>
                <w:snapToGrid/>
                <w:sz w:val="22"/>
                <w:szCs w:val="24"/>
                <w:lang w:val="nl-NL" w:eastAsia="nl-NL"/>
              </w:rPr>
            </w:pPr>
          </w:p>
          <w:p w14:paraId="6E8828A3" w14:textId="77777777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b/>
                <w:snapToGrid/>
                <w:sz w:val="36"/>
                <w:szCs w:val="36"/>
                <w:lang w:val="nl-NL" w:eastAsia="nl-NL"/>
              </w:rPr>
            </w:pPr>
            <w:r w:rsidRPr="001E14C5">
              <w:rPr>
                <w:rFonts w:ascii="Calibri" w:eastAsia="Calibri" w:hAnsi="Calibri" w:cs="Calibri"/>
                <w:b/>
                <w:snapToGrid/>
                <w:sz w:val="36"/>
                <w:szCs w:val="36"/>
                <w:lang w:val="nl-NL" w:eastAsia="nl-NL"/>
              </w:rPr>
              <w:t>O</w:t>
            </w:r>
            <w:r w:rsidR="001E14C5">
              <w:rPr>
                <w:rFonts w:ascii="Calibri" w:eastAsia="Calibri" w:hAnsi="Calibri" w:cs="Calibri"/>
                <w:b/>
                <w:snapToGrid/>
                <w:sz w:val="36"/>
                <w:szCs w:val="36"/>
                <w:lang w:val="nl-NL" w:eastAsia="nl-NL"/>
              </w:rPr>
              <w:t>PROEP</w:t>
            </w:r>
          </w:p>
          <w:p w14:paraId="788BD80B" w14:textId="77777777" w:rsidR="005C5FD9" w:rsidRPr="00206268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4"/>
                <w:lang w:val="nl-NL" w:eastAsia="nl-NL"/>
              </w:rPr>
            </w:pPr>
          </w:p>
          <w:p w14:paraId="27EC0E51" w14:textId="77777777" w:rsidR="005C5FD9" w:rsidRPr="00206268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0"/>
                <w:szCs w:val="24"/>
                <w:lang w:val="nl-NL" w:eastAsia="nl-NL"/>
              </w:rPr>
            </w:pPr>
            <w:r w:rsidRPr="00206268">
              <w:rPr>
                <w:rFonts w:ascii="Calibri" w:eastAsia="Calibri" w:hAnsi="Calibri" w:cs="Calibri"/>
                <w:snapToGrid/>
                <w:sz w:val="20"/>
                <w:szCs w:val="24"/>
                <w:lang w:val="nl-NL" w:eastAsia="nl-NL"/>
              </w:rPr>
              <w:t>Bij het Gerecht in Eerste Aanleg van Curaçao is ingediend een verzoek tot toekenning van de langdurig onverdeeld gebleven boedel bestaande uit het perceel</w:t>
            </w:r>
          </w:p>
          <w:p w14:paraId="25EDF7B1" w14:textId="77777777" w:rsidR="005C5FD9" w:rsidRPr="00206268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0"/>
                <w:szCs w:val="24"/>
                <w:lang w:val="nl-NL" w:eastAsia="nl-NL"/>
              </w:rPr>
            </w:pPr>
          </w:p>
          <w:p w14:paraId="354418F8" w14:textId="04C12F58" w:rsidR="004C2597" w:rsidRDefault="00047F23" w:rsidP="004C2597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32"/>
                <w:szCs w:val="32"/>
                <w:lang w:val="nl-NL" w:eastAsia="nl-NL"/>
              </w:rPr>
            </w:pPr>
            <w:r>
              <w:rPr>
                <w:rFonts w:ascii="Calibri" w:eastAsia="Calibri" w:hAnsi="Calibri" w:cs="Calibri"/>
                <w:b/>
                <w:snapToGrid/>
                <w:sz w:val="32"/>
                <w:szCs w:val="32"/>
                <w:lang w:val="nl-NL" w:eastAsia="nl-NL"/>
              </w:rPr>
              <w:t>FANTANJA</w:t>
            </w:r>
            <w:r w:rsidR="004C2597" w:rsidRPr="001E14C5">
              <w:rPr>
                <w:rFonts w:ascii="Calibri" w:eastAsia="Calibri" w:hAnsi="Calibri" w:cs="Calibri"/>
                <w:snapToGrid/>
                <w:sz w:val="32"/>
                <w:szCs w:val="32"/>
                <w:lang w:val="nl-NL" w:eastAsia="nl-NL"/>
              </w:rPr>
              <w:t xml:space="preserve">, </w:t>
            </w:r>
          </w:p>
          <w:p w14:paraId="107EA981" w14:textId="18A014F5" w:rsidR="001E14C5" w:rsidRDefault="001E14C5" w:rsidP="004C2597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0"/>
                <w:szCs w:val="24"/>
                <w:lang w:val="nl-NL" w:eastAsia="nl-NL"/>
              </w:rPr>
            </w:pPr>
            <w:r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gelegen </w:t>
            </w:r>
            <w:r w:rsidR="00790AB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op Curaçao</w:t>
            </w:r>
            <w:r w:rsidR="004C2597" w:rsidRPr="004C2597">
              <w:rPr>
                <w:rFonts w:ascii="Calibri" w:eastAsia="Calibri" w:hAnsi="Calibri" w:cs="Calibri"/>
                <w:snapToGrid/>
                <w:sz w:val="20"/>
                <w:szCs w:val="24"/>
                <w:lang w:val="nl-NL" w:eastAsia="nl-NL"/>
              </w:rPr>
              <w:t xml:space="preserve">, </w:t>
            </w:r>
          </w:p>
          <w:p w14:paraId="6639714F" w14:textId="77777777" w:rsidR="001E14C5" w:rsidRPr="001E14C5" w:rsidRDefault="001E14C5" w:rsidP="004C2597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47360983" w14:textId="07B64EA4" w:rsidR="00754EC5" w:rsidRDefault="00047F23" w:rsidP="00047F23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bookmarkStart w:id="0" w:name="_Hlk132185850"/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gelegen in het Tweede District van Curaçao, groot 32.040 m2, nader omschreven in meetbrief nummer 130 van 1959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(w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aarvan zijn opge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maakt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meetbrief 512 van 1993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,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thans 512/1993</w:t>
            </w:r>
            <w:r w:rsidR="004A7187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Rest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en meetbrief 388/2002, meetbrief 105 van 2004, meetbrief 176 van 2007, meetbrieven 353 tot en met 360 van 2021 en meetbrieven 572 tot en met 575 van 2022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)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, in de openbare registers van het Kadaster ingeschreven ten name van </w:t>
            </w:r>
          </w:p>
          <w:p w14:paraId="46B232F8" w14:textId="391231B9" w:rsidR="00047F23" w:rsidRPr="00047F23" w:rsidRDefault="00047F23" w:rsidP="00047F23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Godfried </w:t>
            </w:r>
            <w:proofErr w:type="spellStart"/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Nemecio</w:t>
            </w:r>
            <w:proofErr w:type="spellEnd"/>
            <w:r w:rsidRPr="00047F23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047F23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Wieske</w:t>
            </w:r>
            <w:proofErr w:type="spellEnd"/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, datum van overlijden onbekend, in eigendom verkregen bij notariële akte van verkoop, koop en levering (verleden op 17 augustus 1959 en ingeschreven op 24 augustus 1959)</w:t>
            </w:r>
            <w:r w:rsidR="004E652C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,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="004E652C"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kadastraal bekend als Sectie C, deel 178, nummer 83</w:t>
            </w:r>
            <w:r w:rsidR="004E652C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, 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en Juan Pedro </w:t>
            </w:r>
            <w:proofErr w:type="spellStart"/>
            <w:r w:rsidRPr="00047F23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Raphaela</w:t>
            </w:r>
            <w:proofErr w:type="spellEnd"/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, op een onbekend gebleven datum in de 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negent</w:t>
            </w:r>
            <w:r w:rsidRP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iende eeuw overleden, zonder bekende titel van aankomst.</w:t>
            </w:r>
          </w:p>
          <w:bookmarkEnd w:id="0"/>
          <w:p w14:paraId="0530FFA8" w14:textId="77777777" w:rsidR="00DF3481" w:rsidRDefault="00DF3481" w:rsidP="00DF3481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0DE12A49" w14:textId="59073960" w:rsidR="005C5FD9" w:rsidRPr="001E14C5" w:rsidRDefault="005C5FD9" w:rsidP="00DF3481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zulks op grond van artikel 3:200a en verder van het Burgerlijk Wetboek.</w:t>
            </w:r>
          </w:p>
          <w:p w14:paraId="121FEC98" w14:textId="77777777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1A22CB78" w14:textId="548727FA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Het verzoek zal worden behandeld op </w:t>
            </w:r>
            <w:r w:rsidR="00047F23" w:rsidRPr="00047F23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dinsdag</w:t>
            </w:r>
            <w:r w:rsidR="00D26ACE" w:rsidRPr="00D26ACE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="00047F23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11 juli</w:t>
            </w:r>
            <w:r w:rsidR="00E149CB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="009B4749" w:rsidRPr="00D26ACE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202</w:t>
            </w:r>
            <w:r w:rsidR="00E149CB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3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om </w:t>
            </w:r>
            <w:r w:rsidR="00754EC5" w:rsidRPr="00754EC5">
              <w:rPr>
                <w:rFonts w:ascii="Calibri" w:eastAsia="Calibri" w:hAnsi="Calibri" w:cs="Calibri"/>
                <w:b/>
                <w:bCs/>
                <w:snapToGrid/>
                <w:sz w:val="22"/>
                <w:szCs w:val="22"/>
                <w:lang w:val="nl-NL" w:eastAsia="nl-NL"/>
              </w:rPr>
              <w:t>14.45</w:t>
            </w:r>
            <w:r w:rsidR="00754E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Pr="001E14C5">
              <w:rPr>
                <w:rFonts w:ascii="Calibri" w:eastAsia="Calibri" w:hAnsi="Calibri" w:cs="Calibri"/>
                <w:b/>
                <w:snapToGrid/>
                <w:sz w:val="22"/>
                <w:szCs w:val="22"/>
                <w:lang w:val="nl-NL" w:eastAsia="nl-NL"/>
              </w:rPr>
              <w:t>uur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in een der zalen van </w:t>
            </w:r>
            <w:r w:rsidR="00FC739B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het </w:t>
            </w:r>
            <w:r w:rsidR="009B4749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G</w:t>
            </w:r>
            <w:r w:rsidR="00FC739B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erecht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aan het </w:t>
            </w:r>
            <w:r w:rsidR="00DF3481" w:rsidRPr="00DF3481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Emancipatie Boulevard </w:t>
            </w:r>
            <w:proofErr w:type="spellStart"/>
            <w:r w:rsidR="00DF3481" w:rsidRPr="00DF3481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Dominico</w:t>
            </w:r>
            <w:proofErr w:type="spellEnd"/>
            <w:r w:rsidR="00DF3481" w:rsidRPr="00DF3481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F. ‘Don’ Martina 18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.</w:t>
            </w:r>
          </w:p>
          <w:p w14:paraId="43E48380" w14:textId="77777777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3095953A" w14:textId="33E82BFF" w:rsidR="005C5FD9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Belanghebbenden kunnen uiterlijk 14 dagen voor die zitting een verweerschrift indienen bij de griffie van het Gerecht, onder vermelding van zaaknummer </w:t>
            </w:r>
            <w:r w:rsidR="00047F23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CUR202204512</w:t>
            </w:r>
            <w:r w:rsidR="00656250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(</w:t>
            </w:r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Robert </w:t>
            </w:r>
            <w:proofErr w:type="spellStart"/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>Basiano</w:t>
            </w:r>
            <w:proofErr w:type="spellEnd"/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>Raphaela</w:t>
            </w:r>
            <w:proofErr w:type="spellEnd"/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 e.a.</w:t>
            </w:r>
            <w:r w:rsidR="00D60077" w:rsidRPr="00EE3C0A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 </w:t>
            </w:r>
            <w:r w:rsidR="004C2597" w:rsidRPr="00EE3C0A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inzake </w:t>
            </w:r>
            <w:r w:rsidRPr="00EE3C0A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 xml:space="preserve">boedel </w:t>
            </w:r>
            <w:proofErr w:type="spellStart"/>
            <w:r w:rsidR="00047F23">
              <w:rPr>
                <w:rFonts w:ascii="Calibri" w:eastAsia="Calibri" w:hAnsi="Calibri" w:cs="Calibri"/>
                <w:i/>
                <w:iCs/>
                <w:snapToGrid/>
                <w:sz w:val="22"/>
                <w:szCs w:val="22"/>
                <w:lang w:val="nl-NL" w:eastAsia="nl-NL"/>
              </w:rPr>
              <w:t>Fantanja</w:t>
            </w:r>
            <w:proofErr w:type="spellEnd"/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).</w:t>
            </w:r>
          </w:p>
          <w:p w14:paraId="78576F37" w14:textId="4D5276A8" w:rsidR="003A008E" w:rsidRDefault="003A008E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408DB05A" w14:textId="7F40BE8A" w:rsidR="003A008E" w:rsidRPr="001E14C5" w:rsidRDefault="003A008E" w:rsidP="003A008E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  <w:r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Het verzoekschrift en overige informatie is te vinden op de website van het Hof </w:t>
            </w:r>
            <w:r w:rsidRPr="006D4E16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www.gemhofvanjustitie.org</w:t>
            </w:r>
            <w:r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onder “Uitspraken- Onverdeelde Boedels”.</w:t>
            </w:r>
          </w:p>
          <w:p w14:paraId="5FB90BF1" w14:textId="77777777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</w:pPr>
          </w:p>
          <w:p w14:paraId="590C0513" w14:textId="242846FF" w:rsidR="005C5FD9" w:rsidRPr="001E14C5" w:rsidRDefault="005C5FD9" w:rsidP="00493434">
            <w:pPr>
              <w:widowControl/>
              <w:ind w:left="142"/>
              <w:jc w:val="center"/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</w:pP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Telefonische inlichtingen kunnen worden ingewonnen bij</w:t>
            </w:r>
            <w:r w:rsidR="000E52CA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 de 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griffier </w:t>
            </w:r>
            <w:r w:rsidR="00C57668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>mr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val="nl-NL" w:eastAsia="nl-NL"/>
              </w:rPr>
              <w:t xml:space="preserve">. </w:t>
            </w:r>
            <w:r w:rsidR="00C57668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M. Connor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 xml:space="preserve"> </w:t>
            </w:r>
            <w:r w:rsidR="00C57668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br/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(</w:t>
            </w:r>
            <w:proofErr w:type="spellStart"/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tel</w:t>
            </w:r>
            <w:proofErr w:type="spellEnd"/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:</w:t>
            </w:r>
            <w:r w:rsidR="00F03E95"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 xml:space="preserve"> 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463</w:t>
            </w:r>
            <w:r w:rsidR="00EB6A9A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-4</w:t>
            </w:r>
            <w:r w:rsidR="00F03E95"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1</w:t>
            </w:r>
            <w:r w:rsidR="00C57668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39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)</w:t>
            </w:r>
            <w:r w:rsidR="00D60077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="000E52CA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of</w:t>
            </w:r>
            <w:proofErr w:type="spellEnd"/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 xml:space="preserve"> mw. </w:t>
            </w:r>
            <w:proofErr w:type="spellStart"/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S</w:t>
            </w:r>
            <w:r w:rsidR="00D60077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h</w:t>
            </w:r>
            <w:proofErr w:type="spellEnd"/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.</w:t>
            </w:r>
            <w:r w:rsidR="0072661B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 xml:space="preserve"> </w:t>
            </w:r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Martha (</w:t>
            </w:r>
            <w:proofErr w:type="spellStart"/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tel</w:t>
            </w:r>
            <w:proofErr w:type="spellEnd"/>
            <w:r w:rsidR="005C0E79">
              <w:rPr>
                <w:rFonts w:ascii="Calibri" w:eastAsia="Calibri" w:hAnsi="Calibri" w:cs="Calibri"/>
                <w:snapToGrid/>
                <w:sz w:val="22"/>
                <w:szCs w:val="22"/>
                <w:lang w:val="es-ES" w:eastAsia="nl-NL"/>
              </w:rPr>
              <w:t>: 463-1261)</w:t>
            </w:r>
            <w:r w:rsidRPr="001E14C5">
              <w:rPr>
                <w:rFonts w:ascii="Calibri" w:eastAsia="Calibri" w:hAnsi="Calibri" w:cs="Calibri"/>
                <w:snapToGrid/>
                <w:sz w:val="22"/>
                <w:szCs w:val="22"/>
                <w:lang w:eastAsia="nl-NL"/>
              </w:rPr>
              <w:t>.</w:t>
            </w:r>
          </w:p>
          <w:p w14:paraId="3D2B92A7" w14:textId="77777777" w:rsidR="005C5FD9" w:rsidRPr="00F03E95" w:rsidRDefault="005C5FD9" w:rsidP="00493434">
            <w:pPr>
              <w:widowControl/>
              <w:ind w:left="142"/>
              <w:jc w:val="both"/>
              <w:rPr>
                <w:rFonts w:ascii="Calibri" w:eastAsia="Calibri" w:hAnsi="Calibri" w:cs="Calibri"/>
                <w:snapToGrid/>
                <w:sz w:val="22"/>
                <w:szCs w:val="24"/>
                <w:lang w:eastAsia="nl-NL"/>
              </w:rPr>
            </w:pPr>
          </w:p>
        </w:tc>
      </w:tr>
    </w:tbl>
    <w:p w14:paraId="36C0934C" w14:textId="77777777" w:rsidR="005C5FD9" w:rsidRPr="00F03E95" w:rsidRDefault="005C5FD9" w:rsidP="005C5FD9">
      <w:pPr>
        <w:pStyle w:val="Plattetekst3"/>
        <w:tabs>
          <w:tab w:val="left" w:pos="0"/>
        </w:tabs>
        <w:ind w:left="142" w:hanging="360"/>
        <w:jc w:val="both"/>
        <w:rPr>
          <w:rFonts w:ascii="Calibri" w:hAnsi="Calibri" w:cs="Arial"/>
          <w:color w:val="365F91"/>
          <w:sz w:val="18"/>
          <w:szCs w:val="18"/>
          <w:lang w:val="en-US"/>
        </w:rPr>
      </w:pPr>
    </w:p>
    <w:p w14:paraId="14DF96AA" w14:textId="77777777" w:rsidR="00493434" w:rsidRDefault="00493434"/>
    <w:sectPr w:rsidR="00493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D9"/>
    <w:rsid w:val="000358FC"/>
    <w:rsid w:val="000434A2"/>
    <w:rsid w:val="00045E97"/>
    <w:rsid w:val="00047F23"/>
    <w:rsid w:val="00072FAF"/>
    <w:rsid w:val="00074548"/>
    <w:rsid w:val="00091AE4"/>
    <w:rsid w:val="000E52CA"/>
    <w:rsid w:val="00107CF6"/>
    <w:rsid w:val="00125130"/>
    <w:rsid w:val="00176876"/>
    <w:rsid w:val="001E14C5"/>
    <w:rsid w:val="00317CA7"/>
    <w:rsid w:val="00335002"/>
    <w:rsid w:val="003A008E"/>
    <w:rsid w:val="00493434"/>
    <w:rsid w:val="004A7187"/>
    <w:rsid w:val="004C2597"/>
    <w:rsid w:val="004C2CF6"/>
    <w:rsid w:val="004E652C"/>
    <w:rsid w:val="004F0850"/>
    <w:rsid w:val="005A60A8"/>
    <w:rsid w:val="005C0E79"/>
    <w:rsid w:val="005C5FD9"/>
    <w:rsid w:val="005E1A83"/>
    <w:rsid w:val="00600EA8"/>
    <w:rsid w:val="00656250"/>
    <w:rsid w:val="00682F25"/>
    <w:rsid w:val="006D4E16"/>
    <w:rsid w:val="006E18DD"/>
    <w:rsid w:val="007202C6"/>
    <w:rsid w:val="0072661B"/>
    <w:rsid w:val="00754EC5"/>
    <w:rsid w:val="00784721"/>
    <w:rsid w:val="00790AB3"/>
    <w:rsid w:val="008A5E74"/>
    <w:rsid w:val="008B4833"/>
    <w:rsid w:val="009B1A9C"/>
    <w:rsid w:val="009B41DB"/>
    <w:rsid w:val="009B4749"/>
    <w:rsid w:val="00A66ACA"/>
    <w:rsid w:val="00B34483"/>
    <w:rsid w:val="00B4565B"/>
    <w:rsid w:val="00C44C3F"/>
    <w:rsid w:val="00C57668"/>
    <w:rsid w:val="00C630AB"/>
    <w:rsid w:val="00D26ACE"/>
    <w:rsid w:val="00D60077"/>
    <w:rsid w:val="00DF3481"/>
    <w:rsid w:val="00E149CB"/>
    <w:rsid w:val="00EB6A9A"/>
    <w:rsid w:val="00EE3C0A"/>
    <w:rsid w:val="00F03E95"/>
    <w:rsid w:val="00FC3F4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9B0"/>
  <w15:docId w15:val="{CF934E31-79C5-42DF-BA69-FEF7033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5FD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semiHidden/>
    <w:rsid w:val="005C5FD9"/>
    <w:pPr>
      <w:widowControl/>
    </w:pPr>
    <w:rPr>
      <w:rFonts w:ascii="Times New Roman" w:hAnsi="Times New Roman"/>
      <w:snapToGrid/>
      <w:spacing w:val="-3"/>
      <w:lang w:val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5C5FD9"/>
    <w:rPr>
      <w:rFonts w:ascii="Times New Roman" w:eastAsia="Times New Roman" w:hAnsi="Times New Roman" w:cs="Times New Roman"/>
      <w:spacing w:val="-3"/>
      <w:sz w:val="2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F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FD9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18D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E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EA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EA8"/>
    <w:rPr>
      <w:rFonts w:ascii="Courier" w:eastAsia="Times New Roman" w:hAnsi="Courier" w:cs="Times New Roman"/>
      <w:snapToGrid w:val="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E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EA8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e">
    <w:name w:val="Revision"/>
    <w:hidden/>
    <w:uiPriority w:val="99"/>
    <w:semiHidden/>
    <w:rsid w:val="000358F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3443-CE41-486F-9867-F9D1FC41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GHvJ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de Kort</dc:creator>
  <cp:lastModifiedBy>Pieter de Kort</cp:lastModifiedBy>
  <cp:revision>2</cp:revision>
  <cp:lastPrinted>2023-04-24T16:28:00Z</cp:lastPrinted>
  <dcterms:created xsi:type="dcterms:W3CDTF">2023-04-24T16:29:00Z</dcterms:created>
  <dcterms:modified xsi:type="dcterms:W3CDTF">2023-04-24T16:29:00Z</dcterms:modified>
</cp:coreProperties>
</file>